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3C71" w:rsidRDefault="00413C71" w:rsidP="00413C71"/>
    <w:p w:rsidR="00413C71" w:rsidRDefault="00413C71" w:rsidP="00413C71"/>
    <w:p w:rsidR="009132C9" w:rsidRDefault="006E556C">
      <w:r>
        <w:rPr>
          <w:noProof/>
        </w:rPr>
        <w:pict>
          <v:line id="_x0000_s2058" style="position:absolute;z-index:251666432;mso-wrap-edited:f;mso-position-horizontal:absolute;mso-position-horizontal-relative:page;mso-position-vertical:absolute" from="391.7pt,8.1pt" to="391.7pt,656.1pt" wrapcoords="-2147483648 0 -2147483648 21575 -2147483648 21575 -2147483648 0 -2147483648 0" strokecolor="black [3213]" strokeweight=".5pt">
            <v:fill o:detectmouseclick="t"/>
            <v:shadow opacity="22938f" offset="0"/>
            <w10:wrap anchorx="page"/>
          </v:line>
        </w:pict>
      </w:r>
      <w:r>
        <w:rPr>
          <w:noProof/>
        </w:rPr>
        <w:pict>
          <v:rect id="_x0000_s2052" style="position:absolute;margin-left:2in;margin-top:162.2pt;width:234pt;height:71.8pt;z-index:251661312;mso-wrap-edited:f;mso-position-horizontal:absolute;mso-position-horizontal-relative:page;mso-position-vertical:absolute;mso-position-vertical-relative:page" wrapcoords="-69 0 -69 21046 21600 21046 21600 0 -69 0" fillcolor="#f2f2f2 [3052]" stroked="f" strokecolor="#4a7ebb" strokeweight="1.5pt">
            <v:fill o:detectmouseclick="t"/>
            <v:shadow opacity="22938f" offset="0"/>
            <v:textbox inset=",7.2pt,,7.2pt"/>
            <w10:wrap type="tight" anchorx="page" anchory="page"/>
            <w10:anchorlock/>
          </v:rect>
        </w:pict>
      </w:r>
      <w:r>
        <w:rPr>
          <w:noProof/>
        </w:rPr>
        <w:pict>
          <v:rect id="_x0000_s2051" style="position:absolute;margin-left:2in;margin-top:108pt;width:234pt;height:58.3pt;z-index:251662336;mso-wrap-edited:f;mso-position-horizontal:absolute;mso-position-horizontal-relative:page;mso-position-vertical:absolute;mso-position-vertical-relative:page" wrapcoords="-69 0 -69 21046 21600 21046 21600 0 -69 0" fillcolor="#d8d8d8 [2732]" stroked="f" strokecolor="#4a7ebb" strokeweight="1.5pt">
            <v:fill o:detectmouseclick="t"/>
            <v:shadow opacity="22938f" offset="0"/>
            <v:textbox inset=",7.2pt,,7.2pt"/>
            <w10:wrap type="tight" anchorx="page" anchory="page"/>
            <w10:anchorlock/>
          </v:rect>
        </w:pict>
      </w:r>
    </w:p>
    <w:p w:rsidR="009132C9" w:rsidRDefault="006E556C">
      <w:r>
        <w:rPr>
          <w:noProof/>
        </w:rPr>
        <w:pict>
          <v:shapetype id="_x0000_t202" coordsize="21600,21600" o:spt="202" path="m0,0l0,21600,21600,21600,21600,0xe">
            <v:stroke joinstyle="miter"/>
            <v:path gradientshapeok="t" o:connecttype="rect"/>
          </v:shapetype>
          <v:shape id="_x0000_s2059" type="#_x0000_t202" style="position:absolute;margin-left:409.05pt;margin-top:108pt;width:153.35pt;height:648.2pt;z-index:251667456;mso-wrap-edited:f;mso-position-horizontal:absolute;mso-position-horizontal-relative:page;mso-position-vertical:absolute;mso-position-vertical-relative:page" wrapcoords="0 0 21600 0 21600 21600 0 21600 0 0" filled="f" stroked="f">
            <v:fill o:detectmouseclick="t"/>
            <v:textbox inset="0,0,0,0">
              <w:txbxContent>
                <w:p w:rsidR="00C83047" w:rsidRDefault="00C83047" w:rsidP="00610641">
                  <w:pPr>
                    <w:pStyle w:val="BasicParagraph"/>
                    <w:spacing w:after="60" w:line="240" w:lineRule="auto"/>
                    <w:rPr>
                      <w:rFonts w:ascii="Arial-BoldMT" w:hAnsi="Arial-BoldMT" w:cs="Arial-BoldMT"/>
                      <w:b/>
                      <w:bCs/>
                      <w:color w:val="336094"/>
                      <w:sz w:val="20"/>
                      <w:szCs w:val="20"/>
                    </w:rPr>
                  </w:pPr>
                  <w:r>
                    <w:rPr>
                      <w:rFonts w:ascii="Arial-BoldMT" w:hAnsi="Arial-BoldMT" w:cs="Arial-BoldMT"/>
                      <w:b/>
                      <w:bCs/>
                      <w:color w:val="336094"/>
                      <w:sz w:val="20"/>
                      <w:szCs w:val="20"/>
                    </w:rPr>
                    <w:t>PRACTICE AREAS</w:t>
                  </w:r>
                </w:p>
                <w:p w:rsid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t xml:space="preserve">Health Care Business </w:t>
                  </w:r>
                  <w:r>
                    <w:rPr>
                      <w:rFonts w:ascii="ArialMT" w:hAnsi="ArialMT" w:cs="ArialMT"/>
                      <w:sz w:val="20"/>
                      <w:szCs w:val="20"/>
                    </w:rPr>
                    <w:br/>
                    <w:t>Transactions</w:t>
                  </w:r>
                </w:p>
                <w:p w:rsid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t>Health Care Fraud and Abuse</w:t>
                  </w:r>
                </w:p>
                <w:p w:rsidR="008F5274" w:rsidRDefault="008F5274" w:rsidP="008F5274">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t>Health Care Labor and Employment</w:t>
                  </w:r>
                </w:p>
                <w:p w:rsid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t>Health Care Licensing</w:t>
                  </w:r>
                </w:p>
                <w:p w:rsid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r>
                  <w:r w:rsidR="008F5274">
                    <w:rPr>
                      <w:rFonts w:ascii="ArialMT" w:hAnsi="ArialMT" w:cs="ArialMT"/>
                      <w:sz w:val="20"/>
                      <w:szCs w:val="20"/>
                    </w:rPr>
                    <w:t>Real Estate Leasing and Transactions</w:t>
                  </w:r>
                </w:p>
                <w:p w:rsid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r>
                  <w:r w:rsidR="008F5274">
                    <w:rPr>
                      <w:rFonts w:ascii="ArialMT" w:hAnsi="ArialMT" w:cs="ArialMT"/>
                      <w:sz w:val="20"/>
                      <w:szCs w:val="20"/>
                    </w:rPr>
                    <w:t>Business and Corporate Transactions</w:t>
                  </w:r>
                </w:p>
                <w:p w:rsidR="00C83047" w:rsidRDefault="00C83047" w:rsidP="00F75582">
                  <w:pPr>
                    <w:pStyle w:val="BasicParagraph"/>
                    <w:spacing w:before="160" w:after="60" w:line="240" w:lineRule="auto"/>
                    <w:rPr>
                      <w:rFonts w:ascii="Arial-BoldMT" w:hAnsi="Arial-BoldMT" w:cs="Arial-BoldMT"/>
                      <w:b/>
                      <w:bCs/>
                      <w:color w:val="336094"/>
                      <w:sz w:val="20"/>
                      <w:szCs w:val="20"/>
                    </w:rPr>
                  </w:pPr>
                  <w:r>
                    <w:rPr>
                      <w:rFonts w:ascii="Arial-BoldMT" w:hAnsi="Arial-BoldMT" w:cs="Arial-BoldMT"/>
                      <w:b/>
                      <w:bCs/>
                      <w:color w:val="336094"/>
                      <w:sz w:val="20"/>
                      <w:szCs w:val="20"/>
                    </w:rPr>
                    <w:t>EDUCATION</w:t>
                  </w:r>
                </w:p>
                <w:p w:rsid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r>
                  <w:r w:rsidR="008F5274">
                    <w:rPr>
                      <w:rFonts w:ascii="ArialMT" w:hAnsi="ArialMT" w:cs="ArialMT"/>
                      <w:sz w:val="20"/>
                      <w:szCs w:val="20"/>
                    </w:rPr>
                    <w:t>Indiana University School of Law, Indianapolis, Indiana, J.D., magna cum laude, 1991, Associate Editor, Indiana Law Review</w:t>
                  </w:r>
                </w:p>
                <w:p w:rsid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r>
                  <w:r w:rsidR="008F5274">
                    <w:rPr>
                      <w:rFonts w:ascii="ArialMT" w:hAnsi="ArialMT" w:cs="ArialMT"/>
                      <w:sz w:val="20"/>
                      <w:szCs w:val="20"/>
                    </w:rPr>
                    <w:t>DePauw University, Greencastle, Indiana, B.A., Physics, 1988</w:t>
                  </w:r>
                </w:p>
                <w:p w:rsidR="00C83047" w:rsidRDefault="00C83047" w:rsidP="00F75582">
                  <w:pPr>
                    <w:pStyle w:val="BasicParagraph"/>
                    <w:spacing w:before="160" w:after="60" w:line="240" w:lineRule="auto"/>
                    <w:rPr>
                      <w:rFonts w:ascii="Arial-BoldMT" w:hAnsi="Arial-BoldMT" w:cs="Arial-BoldMT"/>
                      <w:b/>
                      <w:bCs/>
                      <w:color w:val="336094"/>
                      <w:sz w:val="20"/>
                      <w:szCs w:val="20"/>
                    </w:rPr>
                  </w:pPr>
                  <w:r>
                    <w:rPr>
                      <w:rFonts w:ascii="Arial-BoldMT" w:hAnsi="Arial-BoldMT" w:cs="Arial-BoldMT"/>
                      <w:b/>
                      <w:bCs/>
                      <w:color w:val="336094"/>
                      <w:sz w:val="20"/>
                      <w:szCs w:val="20"/>
                    </w:rPr>
                    <w:t>ADMISSIONS</w:t>
                  </w:r>
                </w:p>
                <w:p w:rsidR="008F5274" w:rsidRDefault="008F5274"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t>Supreme Court of Arizona 1991</w:t>
                  </w:r>
                </w:p>
                <w:p w:rsidR="008F5274" w:rsidRDefault="008F5274"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t>US District Court for the District of Arizona, 1992</w:t>
                  </w:r>
                </w:p>
                <w:p w:rsidR="008F5274" w:rsidRPr="008F5274" w:rsidRDefault="008F5274"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t>US Court of Appeals for the Ninth Circuit, 1996</w:t>
                  </w:r>
                </w:p>
                <w:p w:rsidR="00C83047" w:rsidRDefault="00130C95" w:rsidP="00F75582">
                  <w:pPr>
                    <w:pStyle w:val="BasicParagraph"/>
                    <w:spacing w:before="160" w:after="60" w:line="240" w:lineRule="auto"/>
                    <w:rPr>
                      <w:rFonts w:ascii="Arial-BoldMT" w:hAnsi="Arial-BoldMT" w:cs="Arial-BoldMT"/>
                      <w:b/>
                      <w:bCs/>
                      <w:color w:val="336094"/>
                      <w:sz w:val="20"/>
                      <w:szCs w:val="20"/>
                    </w:rPr>
                  </w:pPr>
                  <w:r>
                    <w:rPr>
                      <w:rFonts w:ascii="Arial-BoldMT" w:hAnsi="Arial-BoldMT" w:cs="Arial-BoldMT"/>
                      <w:b/>
                      <w:bCs/>
                      <w:color w:val="336094"/>
                      <w:sz w:val="20"/>
                      <w:szCs w:val="20"/>
                    </w:rPr>
                    <w:t>PROFESSIONAL LEADERSHIP</w:t>
                  </w:r>
                </w:p>
                <w:p w:rsid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t>State Bar of Arizona</w:t>
                  </w:r>
                </w:p>
                <w:p w:rsid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t>American Health Lawyers Association</w:t>
                  </w:r>
                </w:p>
                <w:p w:rsid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t xml:space="preserve">Arizona Association of Health </w:t>
                  </w:r>
                  <w:r w:rsidR="008F5274">
                    <w:rPr>
                      <w:rFonts w:ascii="ArialMT" w:hAnsi="ArialMT" w:cs="ArialMT"/>
                      <w:sz w:val="20"/>
                      <w:szCs w:val="20"/>
                    </w:rPr>
                    <w:t>Care Lawyers</w:t>
                  </w:r>
                </w:p>
                <w:p w:rsidR="00C83047" w:rsidRDefault="00130C95" w:rsidP="00F75582">
                  <w:pPr>
                    <w:pStyle w:val="BasicParagraph"/>
                    <w:spacing w:before="160" w:after="60" w:line="240" w:lineRule="auto"/>
                    <w:rPr>
                      <w:rFonts w:ascii="Arial-BoldMT" w:hAnsi="Arial-BoldMT" w:cs="Arial-BoldMT"/>
                      <w:b/>
                      <w:bCs/>
                      <w:color w:val="336094"/>
                      <w:sz w:val="20"/>
                      <w:szCs w:val="20"/>
                    </w:rPr>
                  </w:pPr>
                  <w:r>
                    <w:rPr>
                      <w:rFonts w:ascii="Arial-BoldMT" w:hAnsi="Arial-BoldMT" w:cs="Arial-BoldMT"/>
                      <w:b/>
                      <w:bCs/>
                      <w:color w:val="336094"/>
                      <w:sz w:val="20"/>
                      <w:szCs w:val="20"/>
                    </w:rPr>
                    <w:t>PROFESSIONAL RECOGNITION</w:t>
                  </w:r>
                </w:p>
                <w:p w:rsidR="00C83047" w:rsidRPr="00ED4071"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r>
                  <w:r w:rsidR="008F5274">
                    <w:rPr>
                      <w:rFonts w:ascii="ArialMT" w:hAnsi="ArialMT" w:cs="ArialMT"/>
                      <w:sz w:val="20"/>
                      <w:szCs w:val="20"/>
                    </w:rPr>
                    <w:t xml:space="preserve">Best Lawyers in America, Health Care Law, </w:t>
                  </w:r>
                  <w:r w:rsidR="00ED4071">
                    <w:rPr>
                      <w:rFonts w:ascii="ArialMT" w:hAnsi="ArialMT" w:cs="ArialMT"/>
                      <w:sz w:val="20"/>
                      <w:szCs w:val="20"/>
                    </w:rPr>
                    <w:t>since 2013</w:t>
                  </w:r>
                </w:p>
                <w:p w:rsidR="00C83047" w:rsidRPr="00C83047" w:rsidRDefault="00C83047" w:rsidP="00F75582">
                  <w:pPr>
                    <w:pStyle w:val="BasicParagraph"/>
                    <w:spacing w:after="60" w:line="240" w:lineRule="auto"/>
                    <w:ind w:left="180" w:hanging="180"/>
                    <w:rPr>
                      <w:rFonts w:ascii="ArialMT" w:hAnsi="ArialMT" w:cs="ArialMT"/>
                      <w:sz w:val="20"/>
                      <w:szCs w:val="20"/>
                    </w:rPr>
                  </w:pPr>
                  <w:r>
                    <w:rPr>
                      <w:rFonts w:ascii="ArialMT" w:hAnsi="ArialMT" w:cs="ArialMT"/>
                      <w:sz w:val="20"/>
                      <w:szCs w:val="20"/>
                    </w:rPr>
                    <w:t>•</w:t>
                  </w:r>
                  <w:r>
                    <w:rPr>
                      <w:rFonts w:ascii="ArialMT" w:hAnsi="ArialMT" w:cs="ArialMT"/>
                      <w:sz w:val="20"/>
                      <w:szCs w:val="20"/>
                    </w:rPr>
                    <w:tab/>
                  </w:r>
                  <w:r w:rsidR="008F5274">
                    <w:rPr>
                      <w:rFonts w:ascii="ArialMT" w:hAnsi="ArialMT" w:cs="ArialMT"/>
                      <w:sz w:val="20"/>
                      <w:szCs w:val="20"/>
                    </w:rPr>
                    <w:t>AV Preeminent Peer Review Rating, Martindale-Hubbell listed</w:t>
                  </w:r>
                </w:p>
              </w:txbxContent>
            </v:textbox>
            <w10:wrap type="tight" anchorx="page" anchory="page"/>
            <w10:anchorlock/>
          </v:shape>
        </w:pict>
      </w:r>
      <w:r>
        <w:rPr>
          <w:noProof/>
        </w:rPr>
        <w:pict>
          <v:shape id="_x0000_s2056" type="#_x0000_t202" style="position:absolute;margin-left:54pt;margin-top:252pt;width:324pt;height:504.2pt;z-index:251665408;mso-wrap-edited:f;mso-position-horizontal:absolute;mso-position-horizontal-relative:page;mso-position-vertical:absolute;mso-position-vertical-relative:page" wrapcoords="0 0 21600 0 21600 21600 0 21600 0 0" filled="f" stroked="f">
            <v:fill o:detectmouseclick="t"/>
            <v:textbox inset="0,0,0,0">
              <w:txbxContent>
                <w:p w:rsidR="00C83047" w:rsidRPr="00883A07" w:rsidRDefault="0073576E" w:rsidP="00F75582">
                  <w:pPr>
                    <w:pStyle w:val="BasicParagraph"/>
                    <w:spacing w:after="120" w:line="240" w:lineRule="auto"/>
                    <w:rPr>
                      <w:rFonts w:ascii="Arial" w:hAnsi="Arial" w:cs="ArialMT"/>
                      <w:sz w:val="20"/>
                      <w:szCs w:val="20"/>
                    </w:rPr>
                  </w:pPr>
                  <w:r>
                    <w:rPr>
                      <w:rFonts w:ascii="Arial" w:hAnsi="Arial" w:cs="ArialMT"/>
                      <w:sz w:val="20"/>
                      <w:szCs w:val="20"/>
                    </w:rPr>
                    <w:t>Jim</w:t>
                  </w:r>
                  <w:r w:rsidR="00C83047" w:rsidRPr="00883A07">
                    <w:rPr>
                      <w:rFonts w:ascii="Arial" w:hAnsi="Arial" w:cs="ArialMT"/>
                      <w:sz w:val="20"/>
                      <w:szCs w:val="20"/>
                    </w:rPr>
                    <w:t xml:space="preserve"> is a Shareholder in the Phoenix, Arizona law firm of Milligan Lawless, P.C. </w:t>
                  </w:r>
                  <w:r>
                    <w:rPr>
                      <w:rFonts w:ascii="Arial" w:hAnsi="Arial" w:cs="ArialMT"/>
                      <w:sz w:val="20"/>
                      <w:szCs w:val="20"/>
                    </w:rPr>
                    <w:t>Jim</w:t>
                  </w:r>
                  <w:r w:rsidR="00A63CA5">
                    <w:rPr>
                      <w:rFonts w:ascii="Arial" w:hAnsi="Arial" w:cs="ArialMT"/>
                      <w:sz w:val="20"/>
                      <w:szCs w:val="20"/>
                    </w:rPr>
                    <w:t xml:space="preserve"> concentrates his practice in the area of health care law with an emphasis on transactional, compliance and reimbursement issues. Jim’s practice includes the representation of a variety of health care businesses with an emphasis on transactional, compliance and reimbursement issues. His representation includes: analyzing relationships among health care providers to determine compliance with fraud and abuse and antitrust laws; organizing horizontal and vertical health care ventures; providing guidance to providers on matters relating to internal investigation and reporting; and drafting a variety of contracts, including provider agreements, management contracts, joint venture documents and real estate agreements.</w:t>
                  </w:r>
                </w:p>
                <w:p w:rsidR="00C83047" w:rsidRPr="00883A07" w:rsidRDefault="0073576E" w:rsidP="00F75582">
                  <w:pPr>
                    <w:pStyle w:val="BasicParagraph"/>
                    <w:spacing w:after="120" w:line="240" w:lineRule="auto"/>
                    <w:rPr>
                      <w:rFonts w:ascii="Arial" w:hAnsi="Arial" w:cs="ArialMT"/>
                      <w:sz w:val="20"/>
                      <w:szCs w:val="20"/>
                    </w:rPr>
                  </w:pPr>
                  <w:r>
                    <w:rPr>
                      <w:rFonts w:ascii="Arial" w:hAnsi="Arial" w:cs="ArialMT"/>
                      <w:sz w:val="20"/>
                      <w:szCs w:val="20"/>
                    </w:rPr>
                    <w:t>Jim</w:t>
                  </w:r>
                  <w:bookmarkStart w:id="0" w:name="_GoBack"/>
                  <w:bookmarkEnd w:id="0"/>
                  <w:r w:rsidR="00A63CA5">
                    <w:rPr>
                      <w:rFonts w:ascii="Arial" w:hAnsi="Arial" w:cs="ArialMT"/>
                      <w:sz w:val="20"/>
                      <w:szCs w:val="20"/>
                    </w:rPr>
                    <w:t xml:space="preserve">’s </w:t>
                  </w:r>
                  <w:r w:rsidR="00F75582">
                    <w:rPr>
                      <w:rFonts w:ascii="Arial" w:hAnsi="Arial" w:cs="ArialMT"/>
                      <w:sz w:val="20"/>
                      <w:szCs w:val="20"/>
                    </w:rPr>
                    <w:t>recent experience includes:</w:t>
                  </w:r>
                </w:p>
                <w:p w:rsidR="00C83047" w:rsidRPr="00883A07" w:rsidRDefault="00C83047" w:rsidP="00F75582">
                  <w:pPr>
                    <w:pStyle w:val="BasicParagraph"/>
                    <w:spacing w:after="120" w:line="240" w:lineRule="auto"/>
                    <w:ind w:left="180" w:hanging="180"/>
                    <w:rPr>
                      <w:rFonts w:ascii="Arial" w:hAnsi="Arial" w:cs="ArialMT"/>
                      <w:sz w:val="20"/>
                      <w:szCs w:val="20"/>
                    </w:rPr>
                  </w:pPr>
                  <w:r w:rsidRPr="00883A07">
                    <w:rPr>
                      <w:rFonts w:ascii="Arial" w:hAnsi="Arial" w:cs="ArialMT"/>
                      <w:sz w:val="20"/>
                      <w:szCs w:val="20"/>
                    </w:rPr>
                    <w:t>•</w:t>
                  </w:r>
                  <w:r w:rsidRPr="00883A07">
                    <w:rPr>
                      <w:rFonts w:ascii="Arial" w:hAnsi="Arial" w:cs="ArialMT"/>
                      <w:sz w:val="20"/>
                      <w:szCs w:val="20"/>
                    </w:rPr>
                    <w:tab/>
                  </w:r>
                  <w:r w:rsidR="00A63CA5">
                    <w:rPr>
                      <w:rFonts w:ascii="Arial" w:hAnsi="Arial" w:cs="ArialMT"/>
                      <w:sz w:val="20"/>
                      <w:szCs w:val="20"/>
                    </w:rPr>
                    <w:t>Evaluating health care arrangements and billing practices to determine compliance with Medicare, Medicaid and AHCCCS rules and regulations</w:t>
                  </w:r>
                  <w:r w:rsidRPr="00883A07">
                    <w:rPr>
                      <w:rFonts w:ascii="Arial" w:hAnsi="Arial" w:cs="ArialMT"/>
                      <w:sz w:val="20"/>
                      <w:szCs w:val="20"/>
                    </w:rPr>
                    <w:t>;</w:t>
                  </w:r>
                </w:p>
                <w:p w:rsidR="00C83047" w:rsidRPr="00883A07" w:rsidRDefault="00C83047" w:rsidP="00F75582">
                  <w:pPr>
                    <w:pStyle w:val="BasicParagraph"/>
                    <w:spacing w:after="120" w:line="240" w:lineRule="auto"/>
                    <w:ind w:left="180" w:hanging="180"/>
                    <w:rPr>
                      <w:rFonts w:ascii="Arial" w:hAnsi="Arial" w:cs="ArialMT"/>
                      <w:sz w:val="20"/>
                      <w:szCs w:val="20"/>
                    </w:rPr>
                  </w:pPr>
                  <w:r w:rsidRPr="00883A07">
                    <w:rPr>
                      <w:rFonts w:ascii="Arial" w:hAnsi="Arial" w:cs="ArialMT"/>
                      <w:sz w:val="20"/>
                      <w:szCs w:val="20"/>
                    </w:rPr>
                    <w:t>•</w:t>
                  </w:r>
                  <w:r w:rsidRPr="00883A07">
                    <w:rPr>
                      <w:rFonts w:ascii="Arial" w:hAnsi="Arial" w:cs="ArialMT"/>
                      <w:sz w:val="20"/>
                      <w:szCs w:val="20"/>
                    </w:rPr>
                    <w:tab/>
                  </w:r>
                  <w:r w:rsidR="00A63CA5">
                    <w:rPr>
                      <w:rFonts w:ascii="Arial" w:hAnsi="Arial" w:cs="ArialMT"/>
                      <w:sz w:val="20"/>
                      <w:szCs w:val="20"/>
                    </w:rPr>
                    <w:t>Structuring multi-state health care management organizations</w:t>
                  </w:r>
                  <w:r w:rsidRPr="00883A07">
                    <w:rPr>
                      <w:rFonts w:ascii="Arial" w:hAnsi="Arial" w:cs="ArialMT"/>
                      <w:sz w:val="20"/>
                      <w:szCs w:val="20"/>
                    </w:rPr>
                    <w:t>;</w:t>
                  </w:r>
                </w:p>
                <w:p w:rsidR="00C83047" w:rsidRPr="00883A07" w:rsidRDefault="00C83047" w:rsidP="00F75582">
                  <w:pPr>
                    <w:pStyle w:val="BasicParagraph"/>
                    <w:spacing w:after="120" w:line="240" w:lineRule="auto"/>
                    <w:ind w:left="180" w:hanging="180"/>
                    <w:rPr>
                      <w:rFonts w:ascii="Arial" w:hAnsi="Arial" w:cs="ArialMT"/>
                      <w:sz w:val="20"/>
                      <w:szCs w:val="20"/>
                    </w:rPr>
                  </w:pPr>
                  <w:r w:rsidRPr="00883A07">
                    <w:rPr>
                      <w:rFonts w:ascii="Arial" w:hAnsi="Arial" w:cs="ArialMT"/>
                      <w:sz w:val="20"/>
                      <w:szCs w:val="20"/>
                    </w:rPr>
                    <w:t>•</w:t>
                  </w:r>
                  <w:r w:rsidRPr="00883A07">
                    <w:rPr>
                      <w:rFonts w:ascii="Arial" w:hAnsi="Arial" w:cs="ArialMT"/>
                      <w:sz w:val="20"/>
                      <w:szCs w:val="20"/>
                    </w:rPr>
                    <w:tab/>
                  </w:r>
                  <w:r w:rsidR="00A63CA5">
                    <w:rPr>
                      <w:rFonts w:ascii="Arial" w:hAnsi="Arial" w:cs="ArialMT"/>
                      <w:sz w:val="20"/>
                      <w:szCs w:val="20"/>
                    </w:rPr>
                    <w:t>Evaluating and drafting a variety of contracts, including provider agreements, management contracts, compensation arrangements and leases</w:t>
                  </w:r>
                  <w:r w:rsidRPr="00883A07">
                    <w:rPr>
                      <w:rFonts w:ascii="Arial" w:hAnsi="Arial" w:cs="ArialMT"/>
                      <w:sz w:val="20"/>
                      <w:szCs w:val="20"/>
                    </w:rPr>
                    <w:t>;</w:t>
                  </w:r>
                </w:p>
                <w:p w:rsidR="00C83047" w:rsidRPr="00883A07" w:rsidRDefault="00C83047" w:rsidP="00F75582">
                  <w:pPr>
                    <w:pStyle w:val="BasicParagraph"/>
                    <w:spacing w:after="120" w:line="240" w:lineRule="auto"/>
                    <w:ind w:left="180" w:hanging="180"/>
                    <w:rPr>
                      <w:rFonts w:ascii="Arial" w:hAnsi="Arial" w:cs="ArialMT"/>
                      <w:sz w:val="20"/>
                      <w:szCs w:val="20"/>
                    </w:rPr>
                  </w:pPr>
                  <w:r w:rsidRPr="00883A07">
                    <w:rPr>
                      <w:rFonts w:ascii="Arial" w:hAnsi="Arial" w:cs="ArialMT"/>
                      <w:sz w:val="20"/>
                      <w:szCs w:val="20"/>
                    </w:rPr>
                    <w:t>•</w:t>
                  </w:r>
                  <w:r w:rsidRPr="00883A07">
                    <w:rPr>
                      <w:rFonts w:ascii="Arial" w:hAnsi="Arial" w:cs="ArialMT"/>
                      <w:sz w:val="20"/>
                      <w:szCs w:val="20"/>
                    </w:rPr>
                    <w:tab/>
                  </w:r>
                  <w:r w:rsidR="008F5274">
                    <w:rPr>
                      <w:rFonts w:ascii="Arial" w:hAnsi="Arial" w:cs="ArialMT"/>
                      <w:sz w:val="20"/>
                      <w:szCs w:val="20"/>
                    </w:rPr>
                    <w:t>Representing health care providers in licensing matters before the Arizona Medical Board, Board of Osteopathic Examiners, Board of Dental Examiners, Board of Nursing, Board of Chiropractic Examiners, and Board of Physical Therapy Examiners</w:t>
                  </w:r>
                  <w:r w:rsidRPr="00883A07">
                    <w:rPr>
                      <w:rFonts w:ascii="Arial" w:hAnsi="Arial" w:cs="ArialMT"/>
                      <w:sz w:val="20"/>
                      <w:szCs w:val="20"/>
                    </w:rPr>
                    <w:t>;</w:t>
                  </w:r>
                </w:p>
                <w:p w:rsidR="00C83047" w:rsidRPr="00883A07" w:rsidRDefault="00C83047" w:rsidP="00F75582">
                  <w:pPr>
                    <w:pStyle w:val="BasicParagraph"/>
                    <w:spacing w:after="120" w:line="240" w:lineRule="auto"/>
                    <w:ind w:left="180" w:hanging="180"/>
                    <w:rPr>
                      <w:rFonts w:ascii="Arial" w:hAnsi="Arial" w:cs="ArialMT"/>
                      <w:sz w:val="20"/>
                      <w:szCs w:val="20"/>
                    </w:rPr>
                  </w:pPr>
                  <w:r w:rsidRPr="00883A07">
                    <w:rPr>
                      <w:rFonts w:ascii="Arial" w:hAnsi="Arial" w:cs="ArialMT"/>
                      <w:sz w:val="20"/>
                      <w:szCs w:val="20"/>
                    </w:rPr>
                    <w:t>•</w:t>
                  </w:r>
                  <w:r w:rsidRPr="00883A07">
                    <w:rPr>
                      <w:rFonts w:ascii="Arial" w:hAnsi="Arial" w:cs="ArialMT"/>
                      <w:sz w:val="20"/>
                      <w:szCs w:val="20"/>
                    </w:rPr>
                    <w:tab/>
                  </w:r>
                  <w:r w:rsidR="008F5274">
                    <w:rPr>
                      <w:rFonts w:ascii="Arial" w:hAnsi="Arial" w:cs="ArialMT"/>
                      <w:sz w:val="20"/>
                      <w:szCs w:val="20"/>
                    </w:rPr>
                    <w:t>Representing health care providers in administrative and reimbursement matters before Medicare, AHCCCS, insurance plans, and Medicare audit contractors</w:t>
                  </w:r>
                  <w:r w:rsidRPr="00883A07">
                    <w:rPr>
                      <w:rFonts w:ascii="Arial" w:hAnsi="Arial" w:cs="ArialMT"/>
                      <w:sz w:val="20"/>
                      <w:szCs w:val="20"/>
                    </w:rPr>
                    <w:t>;</w:t>
                  </w:r>
                </w:p>
                <w:p w:rsidR="00C83047" w:rsidRPr="00883A07" w:rsidRDefault="00C83047" w:rsidP="00F75582">
                  <w:pPr>
                    <w:pStyle w:val="BasicParagraph"/>
                    <w:spacing w:after="120" w:line="240" w:lineRule="auto"/>
                    <w:ind w:left="180" w:hanging="180"/>
                    <w:rPr>
                      <w:rFonts w:ascii="Arial" w:hAnsi="Arial" w:cs="ArialMT"/>
                      <w:sz w:val="20"/>
                      <w:szCs w:val="20"/>
                    </w:rPr>
                  </w:pPr>
                  <w:r w:rsidRPr="00883A07">
                    <w:rPr>
                      <w:rFonts w:ascii="Arial" w:hAnsi="Arial" w:cs="ArialMT"/>
                      <w:sz w:val="20"/>
                      <w:szCs w:val="20"/>
                    </w:rPr>
                    <w:t>•</w:t>
                  </w:r>
                  <w:r w:rsidRPr="00883A07">
                    <w:rPr>
                      <w:rFonts w:ascii="Arial" w:hAnsi="Arial" w:cs="ArialMT"/>
                      <w:sz w:val="20"/>
                      <w:szCs w:val="20"/>
                    </w:rPr>
                    <w:tab/>
                  </w:r>
                  <w:r w:rsidR="008F5274">
                    <w:rPr>
                      <w:rFonts w:ascii="Arial" w:hAnsi="Arial" w:cs="ArialMT"/>
                      <w:sz w:val="20"/>
                      <w:szCs w:val="20"/>
                    </w:rPr>
                    <w:t>Structuring single- and multi-specialty provider networks and practice groups</w:t>
                  </w:r>
                  <w:r w:rsidRPr="00883A07">
                    <w:rPr>
                      <w:rFonts w:ascii="Arial" w:hAnsi="Arial" w:cs="ArialMT"/>
                      <w:sz w:val="20"/>
                      <w:szCs w:val="20"/>
                    </w:rPr>
                    <w:t>;</w:t>
                  </w:r>
                </w:p>
                <w:p w:rsidR="00C83047" w:rsidRPr="00883A07" w:rsidRDefault="00C83047" w:rsidP="00F75582">
                  <w:pPr>
                    <w:pStyle w:val="BasicParagraph"/>
                    <w:spacing w:after="120" w:line="240" w:lineRule="auto"/>
                    <w:ind w:left="180" w:hanging="180"/>
                    <w:rPr>
                      <w:rFonts w:ascii="Arial" w:hAnsi="Arial" w:cs="ArialMT"/>
                      <w:sz w:val="20"/>
                      <w:szCs w:val="20"/>
                    </w:rPr>
                  </w:pPr>
                  <w:r w:rsidRPr="00883A07">
                    <w:rPr>
                      <w:rFonts w:ascii="Arial" w:hAnsi="Arial" w:cs="ArialMT"/>
                      <w:sz w:val="20"/>
                      <w:szCs w:val="20"/>
                    </w:rPr>
                    <w:t>•</w:t>
                  </w:r>
                  <w:r w:rsidRPr="00883A07">
                    <w:rPr>
                      <w:rFonts w:ascii="Arial" w:hAnsi="Arial" w:cs="ArialMT"/>
                      <w:sz w:val="20"/>
                      <w:szCs w:val="20"/>
                    </w:rPr>
                    <w:tab/>
                  </w:r>
                  <w:r w:rsidR="008F5274">
                    <w:rPr>
                      <w:rFonts w:ascii="Arial" w:hAnsi="Arial" w:cs="ArialMT"/>
                      <w:sz w:val="20"/>
                      <w:szCs w:val="20"/>
                    </w:rPr>
                    <w:t>Representing health care practices in general corporate matters, employment issues, business development and contractual disputes</w:t>
                  </w:r>
                  <w:r w:rsidRPr="00883A07">
                    <w:rPr>
                      <w:rFonts w:ascii="Arial" w:hAnsi="Arial" w:cs="ArialMT"/>
                      <w:sz w:val="20"/>
                      <w:szCs w:val="20"/>
                    </w:rPr>
                    <w:t>;</w:t>
                  </w:r>
                </w:p>
                <w:p w:rsidR="00C83047" w:rsidRPr="00883A07" w:rsidRDefault="00C83047" w:rsidP="00F75582">
                  <w:pPr>
                    <w:pStyle w:val="BasicParagraph"/>
                    <w:spacing w:after="120" w:line="240" w:lineRule="auto"/>
                    <w:ind w:left="180" w:hanging="180"/>
                    <w:rPr>
                      <w:rFonts w:ascii="Arial" w:hAnsi="Arial" w:cs="ArialMT"/>
                      <w:sz w:val="20"/>
                      <w:szCs w:val="20"/>
                    </w:rPr>
                  </w:pPr>
                  <w:r w:rsidRPr="00883A07">
                    <w:rPr>
                      <w:rFonts w:ascii="Arial" w:hAnsi="Arial" w:cs="ArialMT"/>
                      <w:sz w:val="20"/>
                      <w:szCs w:val="20"/>
                    </w:rPr>
                    <w:t>•</w:t>
                  </w:r>
                  <w:r w:rsidRPr="00883A07">
                    <w:rPr>
                      <w:rFonts w:ascii="Arial" w:hAnsi="Arial" w:cs="ArialMT"/>
                      <w:sz w:val="20"/>
                      <w:szCs w:val="20"/>
                    </w:rPr>
                    <w:tab/>
                  </w:r>
                  <w:r w:rsidR="008F5274">
                    <w:rPr>
                      <w:rFonts w:ascii="Arial" w:hAnsi="Arial" w:cs="ArialMT"/>
                      <w:sz w:val="20"/>
                      <w:szCs w:val="20"/>
                    </w:rPr>
                    <w:t>Organizing multi-disciplinary clinics</w:t>
                  </w:r>
                  <w:r w:rsidRPr="00883A07">
                    <w:rPr>
                      <w:rFonts w:ascii="Arial" w:hAnsi="Arial" w:cs="ArialMT"/>
                      <w:sz w:val="20"/>
                      <w:szCs w:val="20"/>
                    </w:rPr>
                    <w:t>;</w:t>
                  </w:r>
                  <w:r w:rsidR="002E2BAB">
                    <w:rPr>
                      <w:rFonts w:ascii="Arial" w:hAnsi="Arial" w:cs="ArialMT"/>
                      <w:sz w:val="20"/>
                      <w:szCs w:val="20"/>
                    </w:rPr>
                    <w:t xml:space="preserve"> and</w:t>
                  </w:r>
                </w:p>
                <w:p w:rsidR="00C83047" w:rsidRPr="00883A07" w:rsidRDefault="00C83047" w:rsidP="008F5274">
                  <w:pPr>
                    <w:pStyle w:val="BasicParagraph"/>
                    <w:spacing w:after="120" w:line="240" w:lineRule="auto"/>
                    <w:ind w:left="180" w:hanging="180"/>
                    <w:rPr>
                      <w:rFonts w:ascii="ArialMT" w:hAnsi="ArialMT" w:cs="ArialMT"/>
                      <w:sz w:val="20"/>
                      <w:szCs w:val="20"/>
                    </w:rPr>
                  </w:pPr>
                  <w:r w:rsidRPr="00883A07">
                    <w:rPr>
                      <w:rFonts w:ascii="Arial" w:hAnsi="Arial" w:cs="ArialMT"/>
                      <w:sz w:val="20"/>
                      <w:szCs w:val="20"/>
                    </w:rPr>
                    <w:t>•</w:t>
                  </w:r>
                  <w:r w:rsidRPr="00883A07">
                    <w:rPr>
                      <w:rFonts w:ascii="Arial" w:hAnsi="Arial" w:cs="ArialMT"/>
                      <w:sz w:val="20"/>
                      <w:szCs w:val="20"/>
                    </w:rPr>
                    <w:tab/>
                  </w:r>
                  <w:r w:rsidR="008F5274">
                    <w:rPr>
                      <w:rFonts w:ascii="Arial" w:hAnsi="Arial" w:cs="ArialMT"/>
                      <w:sz w:val="20"/>
                      <w:szCs w:val="20"/>
                    </w:rPr>
                    <w:t>Representing health care businesses in connection with state licensing matters, including health care facility licensure and collection agency licensure.</w:t>
                  </w:r>
                </w:p>
              </w:txbxContent>
            </v:textbox>
            <w10:wrap anchorx="page" anchory="page"/>
            <w10:anchorlock/>
          </v:shape>
        </w:pict>
      </w:r>
      <w:r>
        <w:rPr>
          <w:noProof/>
        </w:rPr>
        <w:pict>
          <v:shape id="_x0000_s2055" type="#_x0000_t202" style="position:absolute;margin-left:162pt;margin-top:180.2pt;width:202.05pt;height:36pt;z-index:251664384;mso-wrap-edited:f;mso-position-horizontal:absolute;mso-position-horizontal-relative:page;mso-position-vertical:absolute;mso-position-vertical-relative:page" wrapcoords="0 0 21600 0 21600 21600 0 21600 0 0" filled="f" stroked="f">
            <v:fill o:detectmouseclick="t"/>
            <v:textbox inset="0,0,0,0">
              <w:txbxContent>
                <w:p w:rsidR="00C83047" w:rsidRDefault="00A63CA5" w:rsidP="00EF5D7D">
                  <w:pPr>
                    <w:pStyle w:val="BasicParagraph"/>
                    <w:rPr>
                      <w:rFonts w:ascii="ArialMT" w:hAnsi="ArialMT" w:cs="ArialMT"/>
                      <w:sz w:val="20"/>
                      <w:szCs w:val="20"/>
                    </w:rPr>
                  </w:pPr>
                  <w:r>
                    <w:rPr>
                      <w:rFonts w:ascii="ArialMT" w:hAnsi="ArialMT" w:cs="ArialMT"/>
                      <w:sz w:val="20"/>
                      <w:szCs w:val="20"/>
                    </w:rPr>
                    <w:t>jim</w:t>
                  </w:r>
                  <w:r w:rsidR="00C83047">
                    <w:rPr>
                      <w:rFonts w:ascii="ArialMT" w:hAnsi="ArialMT" w:cs="ArialMT"/>
                      <w:sz w:val="20"/>
                      <w:szCs w:val="20"/>
                    </w:rPr>
                    <w:t>@milliganlawless.com</w:t>
                  </w:r>
                </w:p>
                <w:p w:rsidR="00C83047" w:rsidRPr="00EF5D7D" w:rsidRDefault="00A63CA5" w:rsidP="00EF5D7D">
                  <w:r>
                    <w:rPr>
                      <w:rFonts w:ascii="ArialMT" w:hAnsi="ArialMT" w:cs="ArialMT"/>
                      <w:sz w:val="20"/>
                    </w:rPr>
                    <w:t>Direct: 602.792.3503</w:t>
                  </w:r>
                </w:p>
              </w:txbxContent>
            </v:textbox>
            <w10:wrap type="tight" anchorx="page" anchory="page"/>
            <w10:anchorlock/>
          </v:shape>
        </w:pict>
      </w:r>
      <w:r>
        <w:rPr>
          <w:noProof/>
        </w:rPr>
        <w:pict>
          <v:shape id="_x0000_s2054" type="#_x0000_t202" style="position:absolute;margin-left:162pt;margin-top:117.35pt;width:202.05pt;height:36pt;z-index:251663360;mso-wrap-edited:f;mso-position-horizontal:absolute;mso-position-horizontal-relative:page;mso-position-vertical:absolute;mso-position-vertical-relative:page" wrapcoords="0 0 21600 0 21600 21600 0 21600 0 0" filled="f" stroked="f">
            <v:fill o:detectmouseclick="t"/>
            <v:textbox inset="0,0,0,0">
              <w:txbxContent>
                <w:p w:rsidR="00C83047" w:rsidRDefault="00A63CA5" w:rsidP="00EF5D7D">
                  <w:pPr>
                    <w:pStyle w:val="BasicParagraph"/>
                    <w:rPr>
                      <w:rFonts w:ascii="Arial-BoldMT" w:hAnsi="Arial-BoldMT" w:cs="Arial-BoldMT"/>
                      <w:b/>
                      <w:bCs/>
                      <w:sz w:val="28"/>
                      <w:szCs w:val="28"/>
                    </w:rPr>
                  </w:pPr>
                  <w:r>
                    <w:rPr>
                      <w:rFonts w:ascii="Arial-BoldMT" w:hAnsi="Arial-BoldMT" w:cs="Arial-BoldMT"/>
                      <w:b/>
                      <w:bCs/>
                      <w:sz w:val="28"/>
                      <w:szCs w:val="28"/>
                    </w:rPr>
                    <w:t>James R. Taylor</w:t>
                  </w:r>
                </w:p>
                <w:p w:rsidR="00C83047" w:rsidRDefault="00C83047" w:rsidP="00EF5D7D">
                  <w:r>
                    <w:rPr>
                      <w:rFonts w:ascii="ArialMT" w:hAnsi="ArialMT" w:cs="ArialMT"/>
                      <w:sz w:val="20"/>
                    </w:rPr>
                    <w:t>Shareholder</w:t>
                  </w:r>
                </w:p>
              </w:txbxContent>
            </v:textbox>
            <w10:wrap anchorx="page" anchory="page"/>
            <w10:anchorlock/>
          </v:shape>
        </w:pict>
      </w:r>
      <w:r w:rsidR="00883A07">
        <w:rPr>
          <w:noProof/>
        </w:rPr>
        <w:drawing>
          <wp:anchor distT="0" distB="0" distL="114300" distR="114300" simplePos="0" relativeHeight="251659264" behindDoc="1" locked="1" layoutInCell="1" allowOverlap="1">
            <wp:simplePos x="0" y="0"/>
            <wp:positionH relativeFrom="page">
              <wp:posOffset>685800</wp:posOffset>
            </wp:positionH>
            <wp:positionV relativeFrom="page">
              <wp:posOffset>1371600</wp:posOffset>
            </wp:positionV>
            <wp:extent cx="1143000" cy="1599565"/>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ley 3952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1143000" cy="1599565"/>
                    </a:xfrm>
                    <a:prstGeom prst="rect">
                      <a:avLst/>
                    </a:prstGeom>
                    <a:noFill/>
                    <a:ln w="9525">
                      <a:noFill/>
                      <a:miter lim="800000"/>
                      <a:headEnd/>
                      <a:tailEnd/>
                    </a:ln>
                  </pic:spPr>
                </pic:pic>
              </a:graphicData>
            </a:graphic>
          </wp:anchor>
        </w:drawing>
      </w:r>
      <w:r>
        <w:rPr>
          <w:noProof/>
        </w:rPr>
        <w:pict>
          <v:line id="_x0000_s2050" style="position:absolute;z-index:-251658240;mso-wrap-edited:f;mso-position-horizontal:absolute;mso-position-horizontal-relative:page;mso-position-vertical:absolute;mso-position-vertical-relative:page" from="54.25pt,90.2pt" to="558.25pt,90.2pt" strokecolor="black [3213]" strokeweight=".5pt">
            <v:fill o:detectmouseclick="t"/>
            <v:shadow opacity="22938f" offset="0"/>
            <w10:wrap anchorx="page" anchory="page"/>
            <w10:anchorlock/>
          </v:line>
        </w:pict>
      </w:r>
    </w:p>
    <w:sectPr w:rsidR="009132C9" w:rsidSect="00413C71">
      <w:headerReference w:type="default" r:id="rId7"/>
      <w:pgSz w:w="12240" w:h="15840"/>
      <w:pgMar w:top="1440" w:right="1080" w:bottom="1440" w:left="108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554BB" w:rsidRDefault="00EF3D36">
      <w:r>
        <w:separator/>
      </w:r>
    </w:p>
  </w:endnote>
  <w:endnote w:type="continuationSeparator" w:id="1">
    <w:p w:rsidR="00E554BB" w:rsidRDefault="00EF3D3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altName w:val="Cambria"/>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554BB" w:rsidRDefault="00EF3D36">
      <w:r>
        <w:separator/>
      </w:r>
    </w:p>
  </w:footnote>
  <w:footnote w:type="continuationSeparator" w:id="1">
    <w:p w:rsidR="00E554BB" w:rsidRDefault="00EF3D3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3047" w:rsidRDefault="00C83047">
    <w:pPr>
      <w:pStyle w:val="Header"/>
    </w:pPr>
    <w:r>
      <w:rPr>
        <w:noProof/>
      </w:rPr>
      <w:drawing>
        <wp:anchor distT="0" distB="0" distL="114300" distR="114300" simplePos="0" relativeHeight="251658240" behindDoc="1" locked="1" layoutInCell="1" allowOverlap="1">
          <wp:simplePos x="0" y="0"/>
          <wp:positionH relativeFrom="page">
            <wp:align>center</wp:align>
          </wp:positionH>
          <wp:positionV relativeFrom="page">
            <wp:align>top</wp:align>
          </wp:positionV>
          <wp:extent cx="7772400" cy="982133"/>
          <wp:effectExtent l="25400" t="0" r="0" b="0"/>
          <wp:wrapNone/>
          <wp:docPr id="1" name="Picture 1" descr="ML bio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 bio template_header.jpg"/>
                  <pic:cNvPicPr/>
                </pic:nvPicPr>
                <pic:blipFill>
                  <a:blip r:embed="rId1"/>
                  <a:stretch>
                    <a:fillRect/>
                  </a:stretch>
                </pic:blipFill>
                <pic:spPr>
                  <a:xfrm>
                    <a:off x="0" y="0"/>
                    <a:ext cx="7772400" cy="98213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4">
      <o:colormenu v:ext="edit" strokecolor="none [3213]"/>
    </o:shapedefaults>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9A7E6B"/>
    <w:rsid w:val="00130C95"/>
    <w:rsid w:val="002E2BAB"/>
    <w:rsid w:val="00413C71"/>
    <w:rsid w:val="005D2437"/>
    <w:rsid w:val="00610641"/>
    <w:rsid w:val="006E556C"/>
    <w:rsid w:val="0073576E"/>
    <w:rsid w:val="00743580"/>
    <w:rsid w:val="00861BE0"/>
    <w:rsid w:val="00883A07"/>
    <w:rsid w:val="008F3C66"/>
    <w:rsid w:val="008F5274"/>
    <w:rsid w:val="009132C9"/>
    <w:rsid w:val="009A7E6B"/>
    <w:rsid w:val="00A63CA5"/>
    <w:rsid w:val="00BD188F"/>
    <w:rsid w:val="00BD6B6A"/>
    <w:rsid w:val="00C83047"/>
    <w:rsid w:val="00E11F40"/>
    <w:rsid w:val="00E554BB"/>
    <w:rsid w:val="00ED4071"/>
    <w:rsid w:val="00EF3D36"/>
    <w:rsid w:val="00EF5D7D"/>
    <w:rsid w:val="00F75582"/>
  </w:rsids>
  <m:mathPr>
    <m:mathFont m:val="Arial-BoldM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strokecolor="none [3213]"/>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1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A7E6B"/>
    <w:pPr>
      <w:tabs>
        <w:tab w:val="center" w:pos="4320"/>
        <w:tab w:val="right" w:pos="8640"/>
      </w:tabs>
    </w:pPr>
  </w:style>
  <w:style w:type="character" w:customStyle="1" w:styleId="HeaderChar">
    <w:name w:val="Header Char"/>
    <w:basedOn w:val="DefaultParagraphFont"/>
    <w:link w:val="Header"/>
    <w:uiPriority w:val="99"/>
    <w:semiHidden/>
    <w:rsid w:val="009A7E6B"/>
    <w:rPr>
      <w:sz w:val="24"/>
    </w:rPr>
  </w:style>
  <w:style w:type="paragraph" w:styleId="Footer">
    <w:name w:val="footer"/>
    <w:basedOn w:val="Normal"/>
    <w:link w:val="FooterChar"/>
    <w:uiPriority w:val="99"/>
    <w:semiHidden/>
    <w:unhideWhenUsed/>
    <w:rsid w:val="009A7E6B"/>
    <w:pPr>
      <w:tabs>
        <w:tab w:val="center" w:pos="4320"/>
        <w:tab w:val="right" w:pos="8640"/>
      </w:tabs>
    </w:pPr>
  </w:style>
  <w:style w:type="character" w:customStyle="1" w:styleId="FooterChar">
    <w:name w:val="Footer Char"/>
    <w:basedOn w:val="DefaultParagraphFont"/>
    <w:link w:val="Footer"/>
    <w:uiPriority w:val="99"/>
    <w:semiHidden/>
    <w:rsid w:val="009A7E6B"/>
    <w:rPr>
      <w:sz w:val="24"/>
    </w:rPr>
  </w:style>
  <w:style w:type="paragraph" w:customStyle="1" w:styleId="BasicParagraph">
    <w:name w:val="[Basic Paragraph]"/>
    <w:basedOn w:val="Normal"/>
    <w:uiPriority w:val="99"/>
    <w:rsid w:val="00EF5D7D"/>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Word 12.1.0</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Joseph</dc:creator>
  <cp:lastModifiedBy>Korey Kulpins</cp:lastModifiedBy>
  <cp:revision>2</cp:revision>
  <dcterms:created xsi:type="dcterms:W3CDTF">2015-10-13T17:04:00Z</dcterms:created>
  <dcterms:modified xsi:type="dcterms:W3CDTF">2015-10-13T17:04:00Z</dcterms:modified>
</cp:coreProperties>
</file>